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10790">
      <w:pPr>
        <w:spacing w:line="56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766DA82A">
      <w:pPr>
        <w:pStyle w:val="2"/>
      </w:pPr>
    </w:p>
    <w:p w14:paraId="749F4A07">
      <w:pPr>
        <w:spacing w:line="560" w:lineRule="exact"/>
        <w:jc w:val="center"/>
        <w:rPr>
          <w:rFonts w:eastAsia="方正小标宋简体"/>
          <w:color w:val="auto"/>
          <w:sz w:val="44"/>
          <w:szCs w:val="44"/>
        </w:rPr>
      </w:pPr>
      <w:r>
        <w:rPr>
          <w:rFonts w:hint="eastAsia" w:eastAsia="方正小标宋简体"/>
          <w:color w:val="auto"/>
          <w:sz w:val="44"/>
          <w:szCs w:val="44"/>
          <w:lang w:eastAsia="zh-CN"/>
        </w:rPr>
        <w:t>第十</w:t>
      </w:r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五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届</w:t>
      </w:r>
      <w:r>
        <w:rPr>
          <w:rFonts w:eastAsia="方正小标宋简体"/>
          <w:color w:val="auto"/>
          <w:sz w:val="44"/>
          <w:szCs w:val="44"/>
        </w:rPr>
        <w:t>中国创新创业大赛贵州赛区</w:t>
      </w:r>
    </w:p>
    <w:p w14:paraId="65F81C1A">
      <w:pPr>
        <w:spacing w:line="560" w:lineRule="exact"/>
        <w:jc w:val="center"/>
        <w:rPr>
          <w:rFonts w:eastAsia="方正小标宋简体"/>
          <w:color w:val="auto"/>
          <w:sz w:val="44"/>
          <w:szCs w:val="44"/>
        </w:rPr>
      </w:pPr>
      <w:r>
        <w:rPr>
          <w:rFonts w:eastAsia="方正小标宋简体"/>
          <w:color w:val="auto"/>
          <w:sz w:val="44"/>
          <w:szCs w:val="44"/>
        </w:rPr>
        <w:t>复赛工作方案</w:t>
      </w:r>
    </w:p>
    <w:p w14:paraId="253D6757">
      <w:pPr>
        <w:topLinePunct/>
        <w:adjustRightInd w:val="0"/>
        <w:snapToGrid w:val="0"/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</w:p>
    <w:p w14:paraId="268D7E79">
      <w:pPr>
        <w:topLinePunct/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</w:rPr>
      </w:pPr>
      <w:r>
        <w:rPr>
          <w:rFonts w:hint="eastAsia" w:eastAsia="仿宋_GB2312"/>
          <w:color w:val="auto"/>
          <w:sz w:val="32"/>
          <w:szCs w:val="32"/>
          <w:highlight w:val="none"/>
        </w:rPr>
        <w:t>根据《工业和信息化部火炬高技术产业开发中心关于举办第十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eastAsia="仿宋_GB2312"/>
          <w:color w:val="auto"/>
          <w:sz w:val="32"/>
          <w:szCs w:val="32"/>
          <w:highlight w:val="none"/>
        </w:rPr>
        <w:t>届中国创新创业大赛的通知》（火炬〔20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26</w:t>
      </w:r>
      <w:r>
        <w:rPr>
          <w:rFonts w:hint="eastAsia" w:eastAsia="仿宋_GB2312"/>
          <w:color w:val="auto"/>
          <w:sz w:val="32"/>
          <w:szCs w:val="32"/>
          <w:highlight w:val="none"/>
        </w:rPr>
        <w:t>〕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19</w:t>
      </w:r>
      <w:r>
        <w:rPr>
          <w:rFonts w:hint="eastAsia" w:eastAsia="仿宋_GB2312"/>
          <w:color w:val="auto"/>
          <w:sz w:val="32"/>
          <w:szCs w:val="32"/>
          <w:highlight w:val="none"/>
        </w:rPr>
        <w:t>号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）和</w:t>
      </w:r>
      <w:r>
        <w:rPr>
          <w:rFonts w:hint="eastAsia" w:eastAsia="仿宋_GB2312"/>
          <w:color w:val="auto"/>
          <w:sz w:val="32"/>
          <w:szCs w:val="32"/>
          <w:highlight w:val="none"/>
        </w:rPr>
        <w:t>《贵州省科学技术厅关于举办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第十五</w:t>
      </w:r>
      <w:r>
        <w:rPr>
          <w:rFonts w:hint="eastAsia" w:eastAsia="仿宋_GB2312"/>
          <w:color w:val="auto"/>
          <w:sz w:val="32"/>
          <w:szCs w:val="32"/>
          <w:highlight w:val="none"/>
        </w:rPr>
        <w:t>届中国创新创业大赛贵州赛区赛事活动的通知》有关要求及工作安排，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第十五</w:t>
      </w:r>
      <w:r>
        <w:rPr>
          <w:rFonts w:hint="eastAsia" w:eastAsia="仿宋_GB2312"/>
          <w:color w:val="auto"/>
          <w:sz w:val="32"/>
          <w:szCs w:val="32"/>
          <w:highlight w:val="none"/>
        </w:rPr>
        <w:t>届中国创新创业大赛贵州赛区复赛（以下简称“复赛”）定于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2026</w:t>
      </w:r>
      <w:r>
        <w:rPr>
          <w:rFonts w:hint="eastAsia" w:eastAsia="仿宋_GB2312"/>
          <w:color w:val="auto"/>
          <w:sz w:val="32"/>
          <w:szCs w:val="32"/>
          <w:highlight w:val="none"/>
        </w:rPr>
        <w:t>年8月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下旬</w:t>
      </w:r>
      <w:r>
        <w:rPr>
          <w:rFonts w:hint="eastAsia" w:eastAsia="仿宋_GB2312"/>
          <w:color w:val="auto"/>
          <w:sz w:val="32"/>
          <w:szCs w:val="32"/>
          <w:highlight w:val="none"/>
        </w:rPr>
        <w:t>举行，为确保工作有序开展，特制定本方案。</w:t>
      </w:r>
    </w:p>
    <w:p w14:paraId="59618501">
      <w:pPr>
        <w:adjustRightInd w:val="0"/>
        <w:snapToGrid w:val="0"/>
        <w:spacing w:line="560" w:lineRule="exact"/>
        <w:ind w:firstLine="640" w:firstLineChars="200"/>
        <w:rPr>
          <w:rFonts w:eastAsia="仿宋_GB2312"/>
          <w:bCs/>
          <w:color w:val="auto"/>
          <w:sz w:val="32"/>
          <w:szCs w:val="32"/>
          <w:highlight w:val="none"/>
        </w:rPr>
      </w:pPr>
      <w:r>
        <w:rPr>
          <w:rFonts w:eastAsia="黑体"/>
          <w:bCs/>
          <w:color w:val="auto"/>
          <w:sz w:val="32"/>
          <w:szCs w:val="32"/>
          <w:highlight w:val="none"/>
        </w:rPr>
        <w:t>一、组织机构</w:t>
      </w:r>
    </w:p>
    <w:p w14:paraId="291252C3">
      <w:pPr>
        <w:adjustRightInd w:val="0"/>
        <w:snapToGrid w:val="0"/>
        <w:spacing w:line="560" w:lineRule="exact"/>
        <w:ind w:firstLine="640" w:firstLineChars="200"/>
        <w:rPr>
          <w:rFonts w:eastAsia="仿宋_GB2312"/>
          <w:b/>
          <w:color w:val="auto"/>
          <w:sz w:val="32"/>
          <w:szCs w:val="32"/>
          <w:highlight w:val="none"/>
        </w:rPr>
      </w:pPr>
      <w:r>
        <w:rPr>
          <w:rFonts w:eastAsia="楷体_GB2312"/>
          <w:bCs/>
          <w:color w:val="auto"/>
          <w:sz w:val="32"/>
          <w:szCs w:val="32"/>
          <w:highlight w:val="none"/>
        </w:rPr>
        <w:t>（一）主办单位</w:t>
      </w:r>
    </w:p>
    <w:p w14:paraId="4D527D03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贵州省科学技术厅</w:t>
      </w:r>
    </w:p>
    <w:p w14:paraId="4F0EBCDA">
      <w:pPr>
        <w:numPr>
          <w:ilvl w:val="0"/>
          <w:numId w:val="2"/>
        </w:numPr>
        <w:adjustRightInd w:val="0"/>
        <w:snapToGrid w:val="0"/>
        <w:spacing w:line="560" w:lineRule="exact"/>
        <w:ind w:left="640" w:leftChars="0" w:firstLine="0" w:firstLineChars="0"/>
        <w:rPr>
          <w:rFonts w:eastAsia="楷体_GB2312"/>
          <w:bCs/>
          <w:color w:val="auto"/>
          <w:sz w:val="32"/>
          <w:szCs w:val="32"/>
          <w:highlight w:val="none"/>
        </w:rPr>
      </w:pPr>
      <w:r>
        <w:rPr>
          <w:rFonts w:eastAsia="楷体_GB2312"/>
          <w:bCs/>
          <w:color w:val="auto"/>
          <w:sz w:val="32"/>
          <w:szCs w:val="32"/>
          <w:highlight w:val="none"/>
        </w:rPr>
        <w:t>协办单位</w:t>
      </w:r>
    </w:p>
    <w:p w14:paraId="7C51FFCA">
      <w:pPr>
        <w:adjustRightInd w:val="0"/>
        <w:snapToGrid w:val="0"/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hint="eastAsia" w:eastAsia="仿宋_GB2312"/>
          <w:color w:val="auto"/>
          <w:sz w:val="32"/>
          <w:szCs w:val="32"/>
          <w:highlight w:val="none"/>
        </w:rPr>
        <w:t>各市（州）科技管理部门</w:t>
      </w:r>
    </w:p>
    <w:p w14:paraId="43A8868C">
      <w:pPr>
        <w:adjustRightInd w:val="0"/>
        <w:snapToGrid w:val="0"/>
        <w:spacing w:line="560" w:lineRule="exact"/>
        <w:ind w:firstLine="640" w:firstLineChars="200"/>
        <w:rPr>
          <w:rFonts w:eastAsia="仿宋_GB2312"/>
          <w:b/>
          <w:color w:val="auto"/>
          <w:sz w:val="32"/>
          <w:szCs w:val="32"/>
          <w:highlight w:val="none"/>
        </w:rPr>
      </w:pPr>
      <w:r>
        <w:rPr>
          <w:rFonts w:eastAsia="楷体_GB2312"/>
          <w:bCs/>
          <w:color w:val="auto"/>
          <w:sz w:val="32"/>
          <w:szCs w:val="32"/>
          <w:highlight w:val="none"/>
        </w:rPr>
        <w:t>（三）承办单位</w:t>
      </w:r>
      <w:r>
        <w:rPr>
          <w:rFonts w:eastAsia="仿宋_GB2312"/>
          <w:b/>
          <w:color w:val="auto"/>
          <w:sz w:val="32"/>
          <w:szCs w:val="32"/>
          <w:highlight w:val="none"/>
        </w:rPr>
        <w:t xml:space="preserve"> </w:t>
      </w:r>
    </w:p>
    <w:p w14:paraId="2D64ABC6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</w:rPr>
      </w:pPr>
      <w:r>
        <w:rPr>
          <w:rFonts w:hint="eastAsia" w:eastAsia="仿宋_GB2312"/>
          <w:color w:val="auto"/>
          <w:sz w:val="32"/>
          <w:szCs w:val="32"/>
          <w:highlight w:val="none"/>
        </w:rPr>
        <w:t>贵州省科技创新中心有限责任公司</w:t>
      </w:r>
    </w:p>
    <w:p w14:paraId="5C8077B7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</w:rPr>
      </w:pPr>
      <w:r>
        <w:rPr>
          <w:rFonts w:hint="eastAsia" w:eastAsia="仿宋_GB2312"/>
          <w:color w:val="auto"/>
          <w:sz w:val="32"/>
          <w:szCs w:val="32"/>
          <w:highlight w:val="none"/>
        </w:rPr>
        <w:t>贵阳高新技术创业服务中心</w:t>
      </w:r>
    </w:p>
    <w:p w14:paraId="20FA65BB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</w:rPr>
      </w:pPr>
      <w:r>
        <w:rPr>
          <w:rFonts w:hint="eastAsia" w:eastAsia="仿宋_GB2312"/>
          <w:color w:val="auto"/>
          <w:sz w:val="32"/>
          <w:szCs w:val="32"/>
          <w:highlight w:val="none"/>
        </w:rPr>
        <w:t>贵阳市观山湖区科学技术局</w:t>
      </w:r>
    </w:p>
    <w:p w14:paraId="65DA8460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</w:rPr>
      </w:pPr>
      <w:r>
        <w:rPr>
          <w:rFonts w:hint="eastAsia" w:eastAsia="仿宋_GB2312"/>
          <w:color w:val="auto"/>
          <w:sz w:val="32"/>
          <w:szCs w:val="32"/>
          <w:highlight w:val="none"/>
        </w:rPr>
        <w:t>贵阳市花溪区科学技术局</w:t>
      </w:r>
    </w:p>
    <w:p w14:paraId="5032E922">
      <w:pPr>
        <w:adjustRightInd w:val="0"/>
        <w:snapToGrid w:val="0"/>
        <w:spacing w:line="560" w:lineRule="exact"/>
        <w:ind w:firstLine="640" w:firstLineChars="200"/>
        <w:rPr>
          <w:rFonts w:eastAsia="楷体_GB2312"/>
          <w:bCs/>
          <w:color w:val="auto"/>
          <w:sz w:val="32"/>
          <w:szCs w:val="32"/>
          <w:highlight w:val="none"/>
        </w:rPr>
      </w:pPr>
      <w:r>
        <w:rPr>
          <w:rFonts w:hint="eastAsia" w:eastAsia="仿宋_GB2312"/>
          <w:color w:val="auto"/>
          <w:sz w:val="32"/>
          <w:szCs w:val="32"/>
          <w:highlight w:val="none"/>
        </w:rPr>
        <w:t>遵义市汇川区工业能源和科学技术局</w:t>
      </w:r>
    </w:p>
    <w:p w14:paraId="6BCD2E13">
      <w:pPr>
        <w:adjustRightInd w:val="0"/>
        <w:snapToGrid w:val="0"/>
        <w:spacing w:line="560" w:lineRule="exact"/>
        <w:ind w:firstLine="640" w:firstLineChars="200"/>
        <w:rPr>
          <w:rFonts w:hint="eastAsia" w:eastAsia="楷体_GB2312"/>
          <w:bCs/>
          <w:color w:val="auto"/>
          <w:sz w:val="32"/>
          <w:szCs w:val="32"/>
          <w:highlight w:val="none"/>
        </w:rPr>
      </w:pPr>
      <w:r>
        <w:rPr>
          <w:rFonts w:eastAsia="楷体_GB2312"/>
          <w:bCs/>
          <w:color w:val="auto"/>
          <w:sz w:val="32"/>
          <w:szCs w:val="32"/>
          <w:highlight w:val="none"/>
        </w:rPr>
        <w:t>（四）</w:t>
      </w:r>
      <w:r>
        <w:rPr>
          <w:rFonts w:hint="eastAsia" w:eastAsia="楷体_GB2312"/>
          <w:bCs/>
          <w:color w:val="auto"/>
          <w:sz w:val="32"/>
          <w:szCs w:val="32"/>
          <w:highlight w:val="none"/>
        </w:rPr>
        <w:t>执行单位</w:t>
      </w:r>
    </w:p>
    <w:p w14:paraId="4749AB7D">
      <w:pPr>
        <w:adjustRightInd w:val="0"/>
        <w:snapToGrid w:val="0"/>
        <w:spacing w:line="560" w:lineRule="exact"/>
        <w:ind w:firstLine="640" w:firstLineChars="200"/>
        <w:rPr>
          <w:rFonts w:hint="default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贵州省技术转移中心有限责任公司</w:t>
      </w:r>
    </w:p>
    <w:p w14:paraId="0C3A6B55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黔南民族师范学院</w:t>
      </w:r>
    </w:p>
    <w:p w14:paraId="40D87E75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贵州科学城管理有限责任公司</w:t>
      </w:r>
    </w:p>
    <w:p w14:paraId="390B2555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遵义市新质生产力科技创新发展有限公司</w:t>
      </w:r>
    </w:p>
    <w:p w14:paraId="24C8D0CB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贵州贵漂科技（集团）有限公司</w:t>
      </w:r>
    </w:p>
    <w:p w14:paraId="42BCFCEB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贵州创客科技孵化器有限公司</w:t>
      </w:r>
    </w:p>
    <w:p w14:paraId="21223D77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贵州黔才汇大数据服务有限公司</w:t>
      </w:r>
    </w:p>
    <w:p w14:paraId="720F6ABA">
      <w:pPr>
        <w:adjustRightInd w:val="0"/>
        <w:snapToGrid w:val="0"/>
        <w:spacing w:line="560" w:lineRule="exact"/>
        <w:ind w:firstLine="640" w:firstLineChars="200"/>
        <w:rPr>
          <w:rFonts w:eastAsia="仿宋_GB2312"/>
          <w:b/>
          <w:color w:val="auto"/>
          <w:sz w:val="32"/>
          <w:szCs w:val="32"/>
          <w:highlight w:val="none"/>
        </w:rPr>
      </w:pPr>
      <w:r>
        <w:rPr>
          <w:rFonts w:hint="eastAsia" w:eastAsia="楷体_GB2312"/>
          <w:bCs/>
          <w:color w:val="auto"/>
          <w:sz w:val="32"/>
          <w:szCs w:val="32"/>
          <w:highlight w:val="none"/>
          <w:lang w:eastAsia="zh-CN"/>
        </w:rPr>
        <w:t>（五）支持单位</w:t>
      </w:r>
    </w:p>
    <w:p w14:paraId="497F2F09">
      <w:pPr>
        <w:pStyle w:val="2"/>
        <w:ind w:left="0" w:leftChars="0" w:firstLine="640" w:firstLineChars="200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贵州科晖创业投资管理有限责任公司</w:t>
      </w:r>
    </w:p>
    <w:p w14:paraId="482F3F6F">
      <w:pPr>
        <w:adjustRightInd w:val="0"/>
        <w:snapToGrid w:val="0"/>
        <w:spacing w:line="560" w:lineRule="exact"/>
        <w:ind w:firstLine="640" w:firstLineChars="200"/>
        <w:rPr>
          <w:rFonts w:eastAsia="黑体"/>
          <w:bCs/>
          <w:color w:val="auto"/>
          <w:sz w:val="32"/>
          <w:szCs w:val="32"/>
          <w:highlight w:val="none"/>
        </w:rPr>
      </w:pPr>
      <w:r>
        <w:rPr>
          <w:rFonts w:eastAsia="黑体"/>
          <w:bCs/>
          <w:color w:val="auto"/>
          <w:sz w:val="32"/>
          <w:szCs w:val="32"/>
          <w:highlight w:val="none"/>
        </w:rPr>
        <w:t>二、总体安排</w:t>
      </w:r>
    </w:p>
    <w:p w14:paraId="1F43DB54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（一）时间</w:t>
      </w:r>
    </w:p>
    <w:p w14:paraId="28DB906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2026年8月26日—28日。</w:t>
      </w:r>
    </w:p>
    <w:p w14:paraId="76E6C48C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楷体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（二）</w:t>
      </w:r>
      <w:r>
        <w:rPr>
          <w:rFonts w:hint="eastAsia" w:eastAsia="楷体_GB2312" w:cs="Times New Roman"/>
          <w:bCs/>
          <w:color w:val="auto"/>
          <w:sz w:val="32"/>
          <w:szCs w:val="32"/>
          <w:highlight w:val="none"/>
          <w:lang w:val="en-US" w:eastAsia="zh-CN"/>
        </w:rPr>
        <w:t>参赛企业</w:t>
      </w:r>
    </w:p>
    <w:p w14:paraId="10B0B5B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晋级复赛企业共计104家。其中，初创企业组21家，成长企业组83家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40A740B9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hint="eastAsia" w:eastAsia="楷体_GB2312" w:cs="Times New Roman"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eastAsia="楷体_GB2312" w:cs="Times New Roman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eastAsia="楷体_GB2312" w:cs="Times New Roman"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分赛</w:t>
      </w:r>
      <w:r>
        <w:rPr>
          <w:rFonts w:hint="eastAsia" w:eastAsia="楷体_GB2312" w:cs="Times New Roman"/>
          <w:bCs/>
          <w:color w:val="auto"/>
          <w:sz w:val="32"/>
          <w:szCs w:val="32"/>
          <w:highlight w:val="none"/>
          <w:lang w:val="en-US" w:eastAsia="zh-CN"/>
        </w:rPr>
        <w:t>场设置及企业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分组情况</w:t>
      </w:r>
    </w:p>
    <w:p w14:paraId="5A774BCB">
      <w:pPr>
        <w:adjustRightInd w:val="0"/>
        <w:snapToGrid w:val="0"/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复赛共设置3个分赛场，分别为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贵阳、遵义、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黔南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分赛场，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共计10场次比赛，企业按照分配场次参赛。</w:t>
      </w:r>
    </w:p>
    <w:p w14:paraId="552B497D">
      <w:pPr>
        <w:adjustRightInd w:val="0"/>
        <w:snapToGrid w:val="0"/>
        <w:spacing w:line="560" w:lineRule="exact"/>
        <w:ind w:firstLine="640" w:firstLineChars="200"/>
        <w:rPr>
          <w:rFonts w:hint="eastAsia" w:eastAsia="黑体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eastAsia="黑体"/>
          <w:bCs/>
          <w:color w:val="auto"/>
          <w:sz w:val="32"/>
          <w:szCs w:val="32"/>
          <w:highlight w:val="none"/>
        </w:rPr>
        <w:t>三、相关事项</w:t>
      </w:r>
      <w:r>
        <w:rPr>
          <w:rFonts w:hint="eastAsia" w:eastAsia="黑体"/>
          <w:bCs/>
          <w:color w:val="auto"/>
          <w:sz w:val="32"/>
          <w:szCs w:val="32"/>
          <w:highlight w:val="none"/>
          <w:lang w:val="en-US" w:eastAsia="zh-CN"/>
        </w:rPr>
        <w:t>说明</w:t>
      </w:r>
    </w:p>
    <w:p w14:paraId="3D3FE7E8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（一）复赛流程</w:t>
      </w:r>
    </w:p>
    <w:p w14:paraId="643105CB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每场次复赛按照如下流程进行，连场复赛根据实际进行相应调整：</w:t>
      </w:r>
    </w:p>
    <w:p w14:paraId="72FBE219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1.参赛企业签到入场、抽签。</w:t>
      </w:r>
    </w:p>
    <w:p w14:paraId="00296119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2.主持人介绍出席领导、嘉宾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评委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参赛企业。</w:t>
      </w:r>
    </w:p>
    <w:p w14:paraId="2B87D1AB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3.主持人宣读复赛相关要求（评审规则等）。</w:t>
      </w:r>
    </w:p>
    <w:p w14:paraId="4F5273B6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4.企业路演。</w:t>
      </w:r>
    </w:p>
    <w:p w14:paraId="4E56CF13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5.中场休息，召开评委通气会。</w:t>
      </w:r>
    </w:p>
    <w:p w14:paraId="08B13214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6.企业路演。</w:t>
      </w:r>
    </w:p>
    <w:p w14:paraId="01E4DE1E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7.现场统分。</w:t>
      </w:r>
    </w:p>
    <w:p w14:paraId="206785E2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8.主持人公布参赛企业最终得分及晋级决赛企业。</w:t>
      </w:r>
    </w:p>
    <w:p w14:paraId="4960D499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9.颁奖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合影。</w:t>
      </w:r>
    </w:p>
    <w:p w14:paraId="53BDE629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（二）路演环节</w:t>
      </w:r>
    </w:p>
    <w:p w14:paraId="1B3FF2C7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1.顺序：参赛企业按照抽签顺序进行路演。</w:t>
      </w:r>
    </w:p>
    <w:p w14:paraId="41E1C519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内容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“PPT路演陈述”和“专家评委提问”。</w:t>
      </w:r>
    </w:p>
    <w:p w14:paraId="0B614E7D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3.时长：PPT路演陈述8分钟，专家评委提问7分钟，共15分钟。</w:t>
      </w:r>
    </w:p>
    <w:p w14:paraId="2B0F5BED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4.人数：PPT路演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由1名项目负责人进行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陈述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，专家评委提问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可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3人共同回答评委问题。</w:t>
      </w:r>
    </w:p>
    <w:p w14:paraId="324C48BB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5.路演评分、统分：参赛企业路演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同时评委评分，所有参赛企业完成路演后，现场统分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公布参赛企业得分。</w:t>
      </w:r>
    </w:p>
    <w:p w14:paraId="64E52074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（三）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  <w:lang w:val="en-US" w:eastAsia="zh-CN"/>
        </w:rPr>
        <w:t>复赛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评委</w:t>
      </w:r>
    </w:p>
    <w:p w14:paraId="24F901FB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复赛评委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根据参赛项目数量及行业领域随机抽取产生。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每场比赛5名评委，其中创投评委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名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，创新创业评委2名，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技术评委2名。</w:t>
      </w:r>
    </w:p>
    <w:p w14:paraId="3E6F274B">
      <w:pPr>
        <w:adjustRightInd w:val="0"/>
        <w:snapToGrid w:val="0"/>
        <w:spacing w:line="560" w:lineRule="exact"/>
        <w:ind w:firstLine="640" w:firstLineChars="200"/>
        <w:rPr>
          <w:rFonts w:eastAsia="楷体_GB2312"/>
          <w:bCs/>
          <w:color w:val="auto"/>
          <w:sz w:val="32"/>
          <w:szCs w:val="32"/>
          <w:highlight w:val="none"/>
        </w:rPr>
      </w:pPr>
      <w:r>
        <w:rPr>
          <w:rFonts w:eastAsia="楷体_GB2312"/>
          <w:bCs/>
          <w:color w:val="auto"/>
          <w:sz w:val="32"/>
          <w:szCs w:val="32"/>
          <w:highlight w:val="none"/>
        </w:rPr>
        <w:t>（</w:t>
      </w:r>
      <w:r>
        <w:rPr>
          <w:rFonts w:hint="eastAsia" w:eastAsia="楷体_GB2312"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eastAsia="楷体_GB2312"/>
          <w:bCs/>
          <w:color w:val="auto"/>
          <w:sz w:val="32"/>
          <w:szCs w:val="32"/>
          <w:highlight w:val="none"/>
        </w:rPr>
        <w:t>）评分标准</w:t>
      </w:r>
    </w:p>
    <w:p w14:paraId="6EBFAD27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比赛评分严格按照中国创新创业大赛组委会制定的评分标准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进行。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每名评委按照评分指标打分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并写出评价意见和建议，5名评委的平均分即为参赛企业综合得分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最终得分保留小数点后两位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四舍五入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，如出现同分并列，则取小数点后三位，以此类推。</w:t>
      </w:r>
    </w:p>
    <w:p w14:paraId="5C6E38A8">
      <w:pPr>
        <w:adjustRightInd w:val="0"/>
        <w:snapToGrid w:val="0"/>
        <w:spacing w:line="560" w:lineRule="exact"/>
        <w:ind w:firstLine="3520" w:firstLineChars="1100"/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评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  <w:lang w:val="en-US" w:eastAsia="zh-CN"/>
        </w:rPr>
        <w:t>分</w:t>
      </w:r>
      <w:r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指标</w:t>
      </w:r>
    </w:p>
    <w:tbl>
      <w:tblPr>
        <w:tblStyle w:val="7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552"/>
        <w:gridCol w:w="2460"/>
      </w:tblGrid>
      <w:tr w14:paraId="4522D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510" w:type="dxa"/>
            <w:vAlign w:val="center"/>
          </w:tcPr>
          <w:p w14:paraId="543E18CF">
            <w:pPr>
              <w:spacing w:line="560" w:lineRule="exact"/>
              <w:jc w:val="center"/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  <w:t>评价内容</w:t>
            </w:r>
          </w:p>
        </w:tc>
        <w:tc>
          <w:tcPr>
            <w:tcW w:w="2552" w:type="dxa"/>
            <w:vAlign w:val="center"/>
          </w:tcPr>
          <w:p w14:paraId="608BFCE7">
            <w:pPr>
              <w:spacing w:line="560" w:lineRule="exact"/>
              <w:jc w:val="center"/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  <w:t>分值（初创组）</w:t>
            </w:r>
          </w:p>
        </w:tc>
        <w:tc>
          <w:tcPr>
            <w:tcW w:w="2460" w:type="dxa"/>
            <w:vAlign w:val="center"/>
          </w:tcPr>
          <w:p w14:paraId="76C3779F">
            <w:pPr>
              <w:spacing w:line="560" w:lineRule="exact"/>
              <w:jc w:val="center"/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  <w:t>分值（成长组）</w:t>
            </w:r>
          </w:p>
        </w:tc>
      </w:tr>
      <w:tr w14:paraId="4768F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 w14:paraId="037CF40C">
            <w:pPr>
              <w:spacing w:line="560" w:lineRule="exact"/>
              <w:jc w:val="center"/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  <w:t>技术和产品</w:t>
            </w:r>
          </w:p>
        </w:tc>
        <w:tc>
          <w:tcPr>
            <w:tcW w:w="2552" w:type="dxa"/>
            <w:vAlign w:val="center"/>
          </w:tcPr>
          <w:p w14:paraId="50649FB0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30</w:t>
            </w:r>
          </w:p>
        </w:tc>
        <w:tc>
          <w:tcPr>
            <w:tcW w:w="2460" w:type="dxa"/>
            <w:vAlign w:val="center"/>
          </w:tcPr>
          <w:p w14:paraId="6E61916E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30</w:t>
            </w:r>
          </w:p>
        </w:tc>
      </w:tr>
      <w:tr w14:paraId="703D8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 w14:paraId="54A289A4">
            <w:pPr>
              <w:spacing w:line="560" w:lineRule="exact"/>
              <w:jc w:val="center"/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  <w:t>商业模式及实施方案</w:t>
            </w:r>
          </w:p>
        </w:tc>
        <w:tc>
          <w:tcPr>
            <w:tcW w:w="2552" w:type="dxa"/>
            <w:vAlign w:val="center"/>
          </w:tcPr>
          <w:p w14:paraId="3F366696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15</w:t>
            </w:r>
          </w:p>
        </w:tc>
        <w:tc>
          <w:tcPr>
            <w:tcW w:w="2460" w:type="dxa"/>
            <w:vAlign w:val="center"/>
          </w:tcPr>
          <w:p w14:paraId="3F8314FE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15</w:t>
            </w:r>
          </w:p>
        </w:tc>
      </w:tr>
      <w:tr w14:paraId="67D87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 w14:paraId="02EED123">
            <w:pPr>
              <w:spacing w:line="560" w:lineRule="exact"/>
              <w:jc w:val="center"/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  <w:t>行业及市场</w:t>
            </w:r>
          </w:p>
        </w:tc>
        <w:tc>
          <w:tcPr>
            <w:tcW w:w="2552" w:type="dxa"/>
            <w:vAlign w:val="center"/>
          </w:tcPr>
          <w:p w14:paraId="3BC5A0EC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20</w:t>
            </w:r>
          </w:p>
        </w:tc>
        <w:tc>
          <w:tcPr>
            <w:tcW w:w="2460" w:type="dxa"/>
            <w:vAlign w:val="center"/>
          </w:tcPr>
          <w:p w14:paraId="62355A04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20</w:t>
            </w:r>
          </w:p>
        </w:tc>
      </w:tr>
      <w:tr w14:paraId="33BB0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 w14:paraId="682E17DF">
            <w:pPr>
              <w:spacing w:line="560" w:lineRule="exact"/>
              <w:jc w:val="center"/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  <w:t>团队</w:t>
            </w:r>
          </w:p>
        </w:tc>
        <w:tc>
          <w:tcPr>
            <w:tcW w:w="2552" w:type="dxa"/>
            <w:vAlign w:val="center"/>
          </w:tcPr>
          <w:p w14:paraId="12625FBC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30</w:t>
            </w:r>
          </w:p>
        </w:tc>
        <w:tc>
          <w:tcPr>
            <w:tcW w:w="2460" w:type="dxa"/>
            <w:vAlign w:val="center"/>
          </w:tcPr>
          <w:p w14:paraId="11FE8DB4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25</w:t>
            </w:r>
          </w:p>
        </w:tc>
      </w:tr>
      <w:tr w14:paraId="78011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 w14:paraId="6E1C4010">
            <w:pPr>
              <w:spacing w:line="560" w:lineRule="exact"/>
              <w:jc w:val="center"/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b/>
                <w:color w:val="auto"/>
                <w:sz w:val="32"/>
                <w:szCs w:val="32"/>
                <w:highlight w:val="none"/>
              </w:rPr>
              <w:t>财务分析</w:t>
            </w:r>
          </w:p>
        </w:tc>
        <w:tc>
          <w:tcPr>
            <w:tcW w:w="2552" w:type="dxa"/>
            <w:vAlign w:val="center"/>
          </w:tcPr>
          <w:p w14:paraId="7F2D2549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5</w:t>
            </w:r>
          </w:p>
        </w:tc>
        <w:tc>
          <w:tcPr>
            <w:tcW w:w="2460" w:type="dxa"/>
            <w:vAlign w:val="center"/>
          </w:tcPr>
          <w:p w14:paraId="701F93A6">
            <w:pPr>
              <w:spacing w:line="560" w:lineRule="exact"/>
              <w:jc w:val="center"/>
              <w:rPr>
                <w:rFonts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</w:rPr>
              <w:t>10</w:t>
            </w:r>
          </w:p>
        </w:tc>
      </w:tr>
    </w:tbl>
    <w:p w14:paraId="27B5989A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）奖项设置</w:t>
      </w:r>
    </w:p>
    <w:p w14:paraId="27087B46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每场复赛前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名给予奖金奖励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奖金由复赛执行单位筹措安排。</w:t>
      </w:r>
    </w:p>
    <w:p w14:paraId="0B55C012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）晋级原则</w:t>
      </w:r>
    </w:p>
    <w:p w14:paraId="69AB4325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参赛企业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不超过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10家（含）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的场次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，得分排名前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的企业晋级决赛，参赛企业数量每增加3家，则增加1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晋级名额。</w:t>
      </w:r>
    </w:p>
    <w:p w14:paraId="5A8539B9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）宣传工作</w:t>
      </w:r>
    </w:p>
    <w:p w14:paraId="77EF3CB0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省科技厅统筹组织媒体做好复赛赛事活动宣传报道。</w:t>
      </w:r>
    </w:p>
    <w:p w14:paraId="60125603">
      <w:pPr>
        <w:adjustRightInd w:val="0"/>
        <w:snapToGrid w:val="0"/>
        <w:spacing w:line="560" w:lineRule="exact"/>
        <w:ind w:firstLine="640" w:firstLineChars="200"/>
        <w:rPr>
          <w:rFonts w:eastAsia="黑体"/>
          <w:bCs/>
          <w:color w:val="auto"/>
          <w:sz w:val="32"/>
          <w:szCs w:val="32"/>
          <w:highlight w:val="none"/>
        </w:rPr>
      </w:pPr>
      <w:r>
        <w:rPr>
          <w:rFonts w:eastAsia="黑体"/>
          <w:bCs/>
          <w:color w:val="auto"/>
          <w:sz w:val="32"/>
          <w:szCs w:val="32"/>
          <w:highlight w:val="none"/>
        </w:rPr>
        <w:t>四、工作要求</w:t>
      </w:r>
    </w:p>
    <w:p w14:paraId="7D4AC88F">
      <w:pPr>
        <w:topLinePunct/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（一）</w:t>
      </w:r>
      <w:r>
        <w:rPr>
          <w:rFonts w:hint="eastAsia" w:eastAsia="仿宋_GB2312"/>
          <w:color w:val="auto"/>
          <w:sz w:val="32"/>
          <w:szCs w:val="32"/>
          <w:highlight w:val="none"/>
        </w:rPr>
        <w:t>各分赛场制定执行方案报大赛执委会办公室审定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后执行</w:t>
      </w:r>
      <w:r>
        <w:rPr>
          <w:rFonts w:hint="eastAsia" w:eastAsia="仿宋_GB2312"/>
          <w:color w:val="auto"/>
          <w:sz w:val="32"/>
          <w:szCs w:val="32"/>
          <w:highlight w:val="none"/>
        </w:rPr>
        <w:t>。</w:t>
      </w:r>
    </w:p>
    <w:p w14:paraId="418F9113">
      <w:pPr>
        <w:topLinePunct/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（二）</w:t>
      </w:r>
      <w:r>
        <w:rPr>
          <w:rFonts w:hint="eastAsia" w:eastAsia="仿宋_GB2312"/>
          <w:color w:val="auto"/>
          <w:sz w:val="32"/>
          <w:szCs w:val="32"/>
          <w:highlight w:val="none"/>
        </w:rPr>
        <w:t>复赛形象氛围由大赛执委会办公室统一设计，各分赛场执行单位可在不改变统一设计的情况下，增加与本场复赛相适应的个性化元素，报大赛执委会办公室审定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后应用</w:t>
      </w:r>
      <w:r>
        <w:rPr>
          <w:rFonts w:hint="eastAsia" w:eastAsia="仿宋_GB2312"/>
          <w:color w:val="auto"/>
          <w:sz w:val="32"/>
          <w:szCs w:val="32"/>
          <w:highlight w:val="none"/>
        </w:rPr>
        <w:t>。</w:t>
      </w:r>
    </w:p>
    <w:p w14:paraId="5529545C">
      <w:pPr>
        <w:topLinePunct/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（三）</w:t>
      </w:r>
      <w:r>
        <w:rPr>
          <w:rFonts w:hint="eastAsia" w:eastAsia="仿宋_GB2312"/>
          <w:color w:val="auto"/>
          <w:sz w:val="32"/>
          <w:szCs w:val="32"/>
          <w:highlight w:val="none"/>
        </w:rPr>
        <w:t>各分赛场执行单位负责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各</w:t>
      </w:r>
      <w:r>
        <w:rPr>
          <w:rFonts w:hint="eastAsia" w:eastAsia="仿宋_GB2312"/>
          <w:color w:val="auto"/>
          <w:sz w:val="32"/>
          <w:szCs w:val="32"/>
          <w:highlight w:val="none"/>
        </w:rPr>
        <w:t>分赛场的执行相关工作，包括赛场布置及氛围搭建、物料准备、参赛企业通知及资料（路演PPT及电子版商业计划书）收集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媒体宣传等</w:t>
      </w:r>
      <w:r>
        <w:rPr>
          <w:rFonts w:hint="eastAsia" w:eastAsia="仿宋_GB2312"/>
          <w:color w:val="auto"/>
          <w:sz w:val="32"/>
          <w:szCs w:val="32"/>
          <w:highlight w:val="none"/>
        </w:rPr>
        <w:t>。</w:t>
      </w:r>
    </w:p>
    <w:p w14:paraId="067FF926">
      <w:pPr>
        <w:topLinePunct/>
        <w:adjustRightInd w:val="0"/>
        <w:snapToGrid w:val="0"/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（四）</w:t>
      </w:r>
      <w:r>
        <w:rPr>
          <w:rFonts w:hint="eastAsia" w:eastAsia="仿宋_GB2312"/>
          <w:color w:val="auto"/>
          <w:sz w:val="32"/>
          <w:szCs w:val="32"/>
          <w:highlight w:val="none"/>
        </w:rPr>
        <w:t>如参赛企业弃赛，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需由参赛企业</w:t>
      </w:r>
      <w:r>
        <w:rPr>
          <w:rFonts w:hint="eastAsia" w:eastAsia="仿宋_GB2312"/>
          <w:color w:val="auto"/>
          <w:sz w:val="32"/>
          <w:szCs w:val="32"/>
          <w:highlight w:val="none"/>
        </w:rPr>
        <w:t>提交弃赛说明并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加</w:t>
      </w:r>
      <w:r>
        <w:rPr>
          <w:rFonts w:hint="eastAsia" w:eastAsia="仿宋_GB2312"/>
          <w:color w:val="auto"/>
          <w:sz w:val="32"/>
          <w:szCs w:val="32"/>
          <w:highlight w:val="none"/>
        </w:rPr>
        <w:t>盖公章。</w:t>
      </w:r>
    </w:p>
    <w:sectPr>
      <w:footerReference r:id="rId3" w:type="default"/>
      <w:pgSz w:w="11906" w:h="16838"/>
      <w:pgMar w:top="2098" w:right="1474" w:bottom="1701" w:left="1587" w:header="851" w:footer="1701" w:gutter="0"/>
      <w:pgNumType w:fmt="numberInDash" w:start="1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7E14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AD9EA3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AD9EA3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E65C62"/>
    <w:multiLevelType w:val="singleLevel"/>
    <w:tmpl w:val="89E65C62"/>
    <w:lvl w:ilvl="0" w:tentative="0">
      <w:start w:val="2"/>
      <w:numFmt w:val="chineseCounting"/>
      <w:suff w:val="nothing"/>
      <w:lvlText w:val="（%1）"/>
      <w:lvlJc w:val="left"/>
      <w:pPr>
        <w:ind w:left="640" w:leftChars="0" w:firstLine="0" w:firstLineChars="0"/>
      </w:pPr>
      <w:rPr>
        <w:rFonts w:hint="eastAsia"/>
      </w:rPr>
    </w:lvl>
  </w:abstractNum>
  <w:abstractNum w:abstractNumId="1">
    <w:nsid w:val="0000000A"/>
    <w:multiLevelType w:val="multilevel"/>
    <w:tmpl w:val="0000000A"/>
    <w:lvl w:ilvl="0" w:tentative="0">
      <w:start w:val="1"/>
      <w:numFmt w:val="japaneseCounting"/>
      <w:pStyle w:val="9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3ZjY5ODkyMmQ0ZmZkNDA5YTljMzYxZGY4MWQ1NmUifQ=="/>
  </w:docVars>
  <w:rsids>
    <w:rsidRoot w:val="00F5390B"/>
    <w:rsid w:val="00015940"/>
    <w:rsid w:val="00053309"/>
    <w:rsid w:val="00062B13"/>
    <w:rsid w:val="00065D02"/>
    <w:rsid w:val="000967B4"/>
    <w:rsid w:val="000D5DEB"/>
    <w:rsid w:val="000E1D32"/>
    <w:rsid w:val="000E4A35"/>
    <w:rsid w:val="00116A4E"/>
    <w:rsid w:val="00145B26"/>
    <w:rsid w:val="001631EA"/>
    <w:rsid w:val="0017659E"/>
    <w:rsid w:val="001800A9"/>
    <w:rsid w:val="001A5014"/>
    <w:rsid w:val="00235BC8"/>
    <w:rsid w:val="00252B8E"/>
    <w:rsid w:val="002568B4"/>
    <w:rsid w:val="002671EB"/>
    <w:rsid w:val="00294C29"/>
    <w:rsid w:val="002A03BC"/>
    <w:rsid w:val="003018CA"/>
    <w:rsid w:val="00304493"/>
    <w:rsid w:val="003462BA"/>
    <w:rsid w:val="00360A76"/>
    <w:rsid w:val="003614BE"/>
    <w:rsid w:val="00367B96"/>
    <w:rsid w:val="0039363A"/>
    <w:rsid w:val="003A2225"/>
    <w:rsid w:val="003A5212"/>
    <w:rsid w:val="003C56F0"/>
    <w:rsid w:val="003D3A5E"/>
    <w:rsid w:val="00480EA6"/>
    <w:rsid w:val="004952D3"/>
    <w:rsid w:val="005160C2"/>
    <w:rsid w:val="00527665"/>
    <w:rsid w:val="0056093D"/>
    <w:rsid w:val="005E2738"/>
    <w:rsid w:val="005E76E8"/>
    <w:rsid w:val="006051F8"/>
    <w:rsid w:val="00611195"/>
    <w:rsid w:val="006232C9"/>
    <w:rsid w:val="00641C90"/>
    <w:rsid w:val="00683BA7"/>
    <w:rsid w:val="00683EBF"/>
    <w:rsid w:val="006920C6"/>
    <w:rsid w:val="00695964"/>
    <w:rsid w:val="006E3CC5"/>
    <w:rsid w:val="007367AB"/>
    <w:rsid w:val="007751FD"/>
    <w:rsid w:val="007941EC"/>
    <w:rsid w:val="007D124D"/>
    <w:rsid w:val="007E177C"/>
    <w:rsid w:val="007F7DBA"/>
    <w:rsid w:val="0080095C"/>
    <w:rsid w:val="00813DCC"/>
    <w:rsid w:val="008613EE"/>
    <w:rsid w:val="00891F6D"/>
    <w:rsid w:val="008961D2"/>
    <w:rsid w:val="008A7F13"/>
    <w:rsid w:val="008B5976"/>
    <w:rsid w:val="008B6222"/>
    <w:rsid w:val="0093558F"/>
    <w:rsid w:val="00937A73"/>
    <w:rsid w:val="0095213F"/>
    <w:rsid w:val="00963F96"/>
    <w:rsid w:val="0099328E"/>
    <w:rsid w:val="00A434C0"/>
    <w:rsid w:val="00A70A24"/>
    <w:rsid w:val="00A75EB7"/>
    <w:rsid w:val="00A83725"/>
    <w:rsid w:val="00A861C6"/>
    <w:rsid w:val="00A86212"/>
    <w:rsid w:val="00A86258"/>
    <w:rsid w:val="00AA6DBF"/>
    <w:rsid w:val="00AA751D"/>
    <w:rsid w:val="00AE04AA"/>
    <w:rsid w:val="00B01B3D"/>
    <w:rsid w:val="00B27A9F"/>
    <w:rsid w:val="00B326AF"/>
    <w:rsid w:val="00B32A79"/>
    <w:rsid w:val="00B37161"/>
    <w:rsid w:val="00B51DAF"/>
    <w:rsid w:val="00B55156"/>
    <w:rsid w:val="00B55F0F"/>
    <w:rsid w:val="00B56E72"/>
    <w:rsid w:val="00B85633"/>
    <w:rsid w:val="00BC4303"/>
    <w:rsid w:val="00BE49A9"/>
    <w:rsid w:val="00BF1E9C"/>
    <w:rsid w:val="00CC3E32"/>
    <w:rsid w:val="00CC5A59"/>
    <w:rsid w:val="00CC72F5"/>
    <w:rsid w:val="00CD3117"/>
    <w:rsid w:val="00CE0D21"/>
    <w:rsid w:val="00D11DD3"/>
    <w:rsid w:val="00D21A1A"/>
    <w:rsid w:val="00D220B7"/>
    <w:rsid w:val="00D7774B"/>
    <w:rsid w:val="00DA16A8"/>
    <w:rsid w:val="00DD1299"/>
    <w:rsid w:val="00DD2CB0"/>
    <w:rsid w:val="00DE40E9"/>
    <w:rsid w:val="00F277EC"/>
    <w:rsid w:val="00F40A30"/>
    <w:rsid w:val="00F5390B"/>
    <w:rsid w:val="00F57C04"/>
    <w:rsid w:val="00F84F80"/>
    <w:rsid w:val="00F91232"/>
    <w:rsid w:val="00FC1293"/>
    <w:rsid w:val="00FD64E6"/>
    <w:rsid w:val="0343738E"/>
    <w:rsid w:val="03B0260B"/>
    <w:rsid w:val="03B6406A"/>
    <w:rsid w:val="04560A24"/>
    <w:rsid w:val="04DA3651"/>
    <w:rsid w:val="05A07F72"/>
    <w:rsid w:val="08237ABB"/>
    <w:rsid w:val="08786D7E"/>
    <w:rsid w:val="0889426C"/>
    <w:rsid w:val="08935065"/>
    <w:rsid w:val="08A15821"/>
    <w:rsid w:val="098A6D52"/>
    <w:rsid w:val="09A70F1E"/>
    <w:rsid w:val="09B37392"/>
    <w:rsid w:val="0A202DB0"/>
    <w:rsid w:val="0AEC38FE"/>
    <w:rsid w:val="0EFA7D16"/>
    <w:rsid w:val="10151FC8"/>
    <w:rsid w:val="10262C63"/>
    <w:rsid w:val="11644C5D"/>
    <w:rsid w:val="117B2DDA"/>
    <w:rsid w:val="119F504B"/>
    <w:rsid w:val="11ED566F"/>
    <w:rsid w:val="132C7AAB"/>
    <w:rsid w:val="13AC2B62"/>
    <w:rsid w:val="151E6844"/>
    <w:rsid w:val="18893488"/>
    <w:rsid w:val="18CB25F9"/>
    <w:rsid w:val="19480D26"/>
    <w:rsid w:val="196726D2"/>
    <w:rsid w:val="1A346C00"/>
    <w:rsid w:val="1B070BBF"/>
    <w:rsid w:val="1B6507F5"/>
    <w:rsid w:val="1BC77B48"/>
    <w:rsid w:val="1BE614F8"/>
    <w:rsid w:val="1CA00B1C"/>
    <w:rsid w:val="1E82467D"/>
    <w:rsid w:val="1F0054A9"/>
    <w:rsid w:val="1F271157"/>
    <w:rsid w:val="20AC77F5"/>
    <w:rsid w:val="20B87907"/>
    <w:rsid w:val="20DA655D"/>
    <w:rsid w:val="20F92EDD"/>
    <w:rsid w:val="21E37D24"/>
    <w:rsid w:val="225F7737"/>
    <w:rsid w:val="234600CC"/>
    <w:rsid w:val="235F0DCC"/>
    <w:rsid w:val="23C9422B"/>
    <w:rsid w:val="23CA5EE6"/>
    <w:rsid w:val="24273909"/>
    <w:rsid w:val="24E346A1"/>
    <w:rsid w:val="25534C45"/>
    <w:rsid w:val="26A6537C"/>
    <w:rsid w:val="27614801"/>
    <w:rsid w:val="276B3C0D"/>
    <w:rsid w:val="294B0FB6"/>
    <w:rsid w:val="2B7D6CD5"/>
    <w:rsid w:val="2CC35464"/>
    <w:rsid w:val="2E935510"/>
    <w:rsid w:val="2F8262AA"/>
    <w:rsid w:val="30C60A38"/>
    <w:rsid w:val="31107E41"/>
    <w:rsid w:val="314263A3"/>
    <w:rsid w:val="31B55483"/>
    <w:rsid w:val="32AC7DAB"/>
    <w:rsid w:val="33105E73"/>
    <w:rsid w:val="33860260"/>
    <w:rsid w:val="33F1162C"/>
    <w:rsid w:val="344735E4"/>
    <w:rsid w:val="348C0A37"/>
    <w:rsid w:val="34FB369C"/>
    <w:rsid w:val="358C5420"/>
    <w:rsid w:val="35DC7BCF"/>
    <w:rsid w:val="372611C0"/>
    <w:rsid w:val="38192309"/>
    <w:rsid w:val="382B700A"/>
    <w:rsid w:val="390B5420"/>
    <w:rsid w:val="391A320D"/>
    <w:rsid w:val="3944195E"/>
    <w:rsid w:val="395B4FBE"/>
    <w:rsid w:val="398B2723"/>
    <w:rsid w:val="39BF466A"/>
    <w:rsid w:val="39EE6F59"/>
    <w:rsid w:val="39F257E0"/>
    <w:rsid w:val="39FF63D6"/>
    <w:rsid w:val="3B1B0C18"/>
    <w:rsid w:val="3C700251"/>
    <w:rsid w:val="3CFB7C95"/>
    <w:rsid w:val="3E337701"/>
    <w:rsid w:val="3E8E35FE"/>
    <w:rsid w:val="3FCB7365"/>
    <w:rsid w:val="40125790"/>
    <w:rsid w:val="40AF1BC7"/>
    <w:rsid w:val="41420DD5"/>
    <w:rsid w:val="414C53D2"/>
    <w:rsid w:val="41541E85"/>
    <w:rsid w:val="41DF6C07"/>
    <w:rsid w:val="41F45E6E"/>
    <w:rsid w:val="42780C99"/>
    <w:rsid w:val="439E6F77"/>
    <w:rsid w:val="43CE12DD"/>
    <w:rsid w:val="43D877F5"/>
    <w:rsid w:val="45766194"/>
    <w:rsid w:val="45A91EFB"/>
    <w:rsid w:val="462F67B4"/>
    <w:rsid w:val="475D245A"/>
    <w:rsid w:val="4897712B"/>
    <w:rsid w:val="498B70B7"/>
    <w:rsid w:val="4A2F4EC1"/>
    <w:rsid w:val="4B274F95"/>
    <w:rsid w:val="4B6E4EE3"/>
    <w:rsid w:val="4B915029"/>
    <w:rsid w:val="4C1F4BC5"/>
    <w:rsid w:val="4D4C3C02"/>
    <w:rsid w:val="4E7846D4"/>
    <w:rsid w:val="4FAB49CD"/>
    <w:rsid w:val="4FE77C3F"/>
    <w:rsid w:val="4FEF275B"/>
    <w:rsid w:val="501A08ED"/>
    <w:rsid w:val="51AD3772"/>
    <w:rsid w:val="52027317"/>
    <w:rsid w:val="52593ABB"/>
    <w:rsid w:val="53216838"/>
    <w:rsid w:val="537314F8"/>
    <w:rsid w:val="53753C51"/>
    <w:rsid w:val="5387607D"/>
    <w:rsid w:val="549B6FF0"/>
    <w:rsid w:val="56352EF5"/>
    <w:rsid w:val="564A120B"/>
    <w:rsid w:val="564B78F9"/>
    <w:rsid w:val="56AD626C"/>
    <w:rsid w:val="56D835A7"/>
    <w:rsid w:val="57207D33"/>
    <w:rsid w:val="57CF6D09"/>
    <w:rsid w:val="57D073C2"/>
    <w:rsid w:val="58BB45E9"/>
    <w:rsid w:val="593B7B18"/>
    <w:rsid w:val="59CC0D4E"/>
    <w:rsid w:val="59D85C50"/>
    <w:rsid w:val="59F05FF1"/>
    <w:rsid w:val="5A370927"/>
    <w:rsid w:val="5A8777F1"/>
    <w:rsid w:val="5AA21D67"/>
    <w:rsid w:val="5AE431DF"/>
    <w:rsid w:val="5BCF24D0"/>
    <w:rsid w:val="5C2C67C7"/>
    <w:rsid w:val="5DE56A37"/>
    <w:rsid w:val="5F653D37"/>
    <w:rsid w:val="5FA3091E"/>
    <w:rsid w:val="5FFF8FCD"/>
    <w:rsid w:val="60EE0F5A"/>
    <w:rsid w:val="61477910"/>
    <w:rsid w:val="61D013EB"/>
    <w:rsid w:val="62126CF0"/>
    <w:rsid w:val="629C0308"/>
    <w:rsid w:val="6323058D"/>
    <w:rsid w:val="63F20007"/>
    <w:rsid w:val="65370A60"/>
    <w:rsid w:val="673062C4"/>
    <w:rsid w:val="67535261"/>
    <w:rsid w:val="682C0647"/>
    <w:rsid w:val="684752C1"/>
    <w:rsid w:val="6874524B"/>
    <w:rsid w:val="69D50F67"/>
    <w:rsid w:val="6A5E17C6"/>
    <w:rsid w:val="6B090FAF"/>
    <w:rsid w:val="6C746E30"/>
    <w:rsid w:val="6DB97DE8"/>
    <w:rsid w:val="6FAB73C4"/>
    <w:rsid w:val="702A739B"/>
    <w:rsid w:val="70BD0ACA"/>
    <w:rsid w:val="7183431D"/>
    <w:rsid w:val="73821767"/>
    <w:rsid w:val="73ED6B4D"/>
    <w:rsid w:val="74073BD5"/>
    <w:rsid w:val="76256AD7"/>
    <w:rsid w:val="777F6DF2"/>
    <w:rsid w:val="782E2AFF"/>
    <w:rsid w:val="7872406B"/>
    <w:rsid w:val="798F4A43"/>
    <w:rsid w:val="7A5A304A"/>
    <w:rsid w:val="7AC315C1"/>
    <w:rsid w:val="7B330BD4"/>
    <w:rsid w:val="7FF9365D"/>
    <w:rsid w:val="BDEEB12B"/>
    <w:rsid w:val="CFFF5422"/>
    <w:rsid w:val="DEFEF8A7"/>
    <w:rsid w:val="E35764F4"/>
    <w:rsid w:val="FEFB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99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eastAsia="宋体" w:cs="Times New Roman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table" w:styleId="7">
    <w:name w:val="Table Grid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Char Char1"/>
    <w:basedOn w:val="1"/>
    <w:qFormat/>
    <w:uiPriority w:val="0"/>
    <w:pPr>
      <w:numPr>
        <w:ilvl w:val="0"/>
        <w:numId w:val="1"/>
      </w:numPr>
    </w:pPr>
  </w:style>
  <w:style w:type="character" w:customStyle="1" w:styleId="10">
    <w:name w:val="页脚 Char"/>
    <w:basedOn w:val="8"/>
    <w:link w:val="3"/>
    <w:qFormat/>
    <w:uiPriority w:val="0"/>
    <w:rPr>
      <w:rFonts w:ascii="Times New Roman" w:hAnsi="Times New Roman" w:eastAsia="宋体" w:cs="Times New Roman"/>
      <w:sz w:val="18"/>
    </w:rPr>
  </w:style>
  <w:style w:type="character" w:customStyle="1" w:styleId="11">
    <w:name w:val="页眉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030fc6-0fd1-42a4-ba87-f189c89681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5</Pages>
  <Words>1438</Words>
  <Characters>1488</Characters>
  <Lines>10</Lines>
  <Paragraphs>2</Paragraphs>
  <TotalTime>5</TotalTime>
  <ScaleCrop>false</ScaleCrop>
  <LinksUpToDate>false</LinksUpToDate>
  <CharactersWithSpaces>1489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2019-08-16T03:11:00Z</dcterms:created>
  <dc:creator>Administrator</dc:creator>
  <cp:lastModifiedBy>WPS_1765956228</cp:lastModifiedBy>
  <cp:lastPrinted>2026-07-30T11:11:00Z</cp:lastPrinted>
  <dcterms:modified xsi:type="dcterms:W3CDTF">2026-08-20T08:35:52Z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B58F8D3BC1BF42049938A7A885A706A2_13</vt:lpwstr>
  </property>
  <property fmtid="{D5CDD505-2E9C-101B-9397-08002B2CF9AE}" pid="4" name="KSOTemplateDocerSaveRecord">
    <vt:lpwstr>eyJoZGlkIjoiZTczZGJiMzk3NmE4MTFmY2I0NmVkOTVhODY4OTk3OTciLCJ1c2VySWQiOiI0MzUxMDA1NjUifQ==</vt:lpwstr>
  </property>
</Properties>
</file>